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F7940">
      <w:pPr>
        <w:widowControl/>
        <w:spacing w:line="576" w:lineRule="exact"/>
        <w:jc w:val="left"/>
        <w:rPr>
          <w:rFonts w:eastAsia="仿宋_GB2312"/>
          <w:sz w:val="32"/>
          <w:szCs w:val="32"/>
        </w:rPr>
      </w:pPr>
      <w:r>
        <w:rPr>
          <w:rFonts w:hint="eastAsia" w:eastAsia="仿宋_GB2312"/>
          <w:sz w:val="32"/>
          <w:szCs w:val="32"/>
        </w:rPr>
        <w:t>附件</w:t>
      </w:r>
    </w:p>
    <w:p w14:paraId="5AFE895E">
      <w:pPr>
        <w:spacing w:line="576" w:lineRule="exact"/>
        <w:rPr>
          <w:rFonts w:eastAsia="仿宋_GB2312"/>
          <w:sz w:val="32"/>
          <w:szCs w:val="32"/>
        </w:rPr>
      </w:pPr>
    </w:p>
    <w:p w14:paraId="3B825546">
      <w:pPr>
        <w:spacing w:line="576"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江门市蓬江区住房和城乡建设局2020年度行政许可实施和监督管理情况报告</w:t>
      </w:r>
    </w:p>
    <w:p w14:paraId="37E4B96E">
      <w:pPr>
        <w:spacing w:line="576" w:lineRule="exact"/>
        <w:ind w:firstLine="640" w:firstLineChars="200"/>
        <w:rPr>
          <w:rFonts w:eastAsia="仿宋_GB2312"/>
          <w:sz w:val="32"/>
          <w:szCs w:val="32"/>
        </w:rPr>
      </w:pPr>
    </w:p>
    <w:p w14:paraId="44F02AA0">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根据《广东省行政许可监督管理条例》要求，现将我局2020年度行政许可实施和监督管理情况</w:t>
      </w:r>
      <w:bookmarkStart w:id="0" w:name="_GoBack"/>
      <w:bookmarkEnd w:id="0"/>
      <w:r>
        <w:rPr>
          <w:rFonts w:hint="eastAsia" w:ascii="仿宋_GB2312" w:hAnsi="仿宋_GB2312" w:eastAsia="仿宋_GB2312" w:cs="仿宋_GB2312"/>
          <w:sz w:val="32"/>
          <w:szCs w:val="32"/>
        </w:rPr>
        <w:t>报告如下：</w:t>
      </w:r>
    </w:p>
    <w:p w14:paraId="2E9DD350">
      <w:pPr>
        <w:spacing w:line="576"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一、基本情况</w:t>
      </w:r>
    </w:p>
    <w:p w14:paraId="5991E005">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（一）现有事项及办理情况</w:t>
      </w:r>
    </w:p>
    <w:p w14:paraId="3E4A6B4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推进政府职能转变和“放管服”改革工作，全面履行政府职能，努力提高行政效能和公共服务水平，我局严格按照省、市、区关于做好机构改革后政务服务事项调整工作的要求，通过对照县级政务服务事项标准基本目录，逐步梳理了我局的政务服务事项清单，梳理并认领涉及我局政务服务行政许可事项共66均已全部进驻广东省网上办事大厅。2020年，我局共受理行政许可申请769宗，均在规定时间内按时办结。</w:t>
      </w:r>
    </w:p>
    <w:p w14:paraId="1998319F">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w:t>
      </w:r>
      <w:r>
        <w:rPr>
          <w:rFonts w:ascii="楷体_GB2312" w:hAnsi="楷体_GB2312" w:eastAsia="楷体_GB2312" w:cs="楷体_GB2312"/>
          <w:b/>
          <w:sz w:val="32"/>
          <w:szCs w:val="32"/>
        </w:rPr>
        <w:t>）</w:t>
      </w:r>
      <w:r>
        <w:rPr>
          <w:rFonts w:hint="eastAsia" w:ascii="楷体_GB2312" w:hAnsi="楷体_GB2312" w:eastAsia="楷体_GB2312" w:cs="楷体_GB2312"/>
          <w:b/>
          <w:sz w:val="32"/>
          <w:szCs w:val="32"/>
        </w:rPr>
        <w:t>依法实施情况</w:t>
      </w:r>
    </w:p>
    <w:p w14:paraId="705B33ED">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一是</w:t>
      </w:r>
      <w:r>
        <w:rPr>
          <w:rFonts w:hint="eastAsia" w:ascii="仿宋_GB2312" w:hAnsi="仿宋_GB2312" w:eastAsia="仿宋_GB2312" w:cs="仿宋_GB2312"/>
          <w:sz w:val="32"/>
          <w:szCs w:val="32"/>
        </w:rPr>
        <w:t>依法依规办理相关行政审批事项。我局按照《中华人民共和国行政许可法》</w:t>
      </w:r>
      <w:r>
        <w:rPr>
          <w:rFonts w:hint="eastAsia" w:ascii="仿宋_GB2312" w:hAnsi="仿宋" w:eastAsia="仿宋_GB2312"/>
          <w:sz w:val="32"/>
          <w:szCs w:val="32"/>
        </w:rPr>
        <w:t>《中华人民共和国建筑法》《建设工程质量管理条例》《中华人民共和国消防法》</w:t>
      </w:r>
      <w:r>
        <w:rPr>
          <w:rFonts w:hint="eastAsia" w:ascii="仿宋_GB2312" w:hAnsi="仿宋_GB2312" w:eastAsia="仿宋_GB2312" w:cs="仿宋_GB2312"/>
          <w:sz w:val="32"/>
          <w:szCs w:val="32"/>
        </w:rPr>
        <w:t>等法律法规列明行政许可事项的依据、标准及条件，并严格按照审批权限、程序、环节、条件和时限等实施审批。</w:t>
      </w:r>
      <w:r>
        <w:rPr>
          <w:rFonts w:hint="eastAsia" w:ascii="仿宋_GB2312" w:hAnsi="仿宋_GB2312" w:eastAsia="仿宋_GB2312" w:cs="仿宋_GB2312"/>
          <w:bCs/>
          <w:sz w:val="32"/>
          <w:szCs w:val="32"/>
        </w:rPr>
        <w:t>二是</w:t>
      </w:r>
      <w:r>
        <w:rPr>
          <w:rFonts w:hint="eastAsia" w:ascii="仿宋_GB2312" w:hAnsi="仿宋_GB2312" w:eastAsia="仿宋_GB2312" w:cs="仿宋_GB2312"/>
          <w:sz w:val="32"/>
          <w:szCs w:val="32"/>
        </w:rPr>
        <w:t>遵照《广东省行政执法案卷评查标准》和《行政执法流程和执法文书范本》标准，加强行政许可评查标准化学习，提高行政执法工作水平，整理行政许可案卷，规范整个行政许可过程，做好建档立卷。</w:t>
      </w:r>
      <w:r>
        <w:rPr>
          <w:rFonts w:hint="eastAsia" w:ascii="仿宋_GB2312" w:hAnsi="仿宋_GB2312" w:eastAsia="仿宋_GB2312" w:cs="仿宋_GB2312"/>
          <w:bCs/>
          <w:sz w:val="32"/>
          <w:szCs w:val="32"/>
        </w:rPr>
        <w:t>三是</w:t>
      </w:r>
      <w:r>
        <w:rPr>
          <w:rFonts w:hint="eastAsia" w:ascii="仿宋_GB2312" w:hAnsi="仿宋_GB2312" w:eastAsia="仿宋_GB2312" w:cs="仿宋_GB2312"/>
          <w:sz w:val="32"/>
          <w:szCs w:val="32"/>
        </w:rPr>
        <w:t>优化审批流程和简化审批程序。着力优化服务、简化办事流程，推动审批服务便民化，努力实现“马上办、网上办、就近办、一次办”四办高效率，为群众提供“无堵点”的优质服务。</w:t>
      </w:r>
    </w:p>
    <w:p w14:paraId="3156917C">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（三）公开公示情况</w:t>
      </w:r>
    </w:p>
    <w:p w14:paraId="454443B2">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在广东省政务网及局官方网站，主动公开许可事项和公共服务事项的申请标准、办事指南，实现上述事项申报、受理、咨询等全过程全环节网上在线办理，贯彻落实“让数据多跑路，让群众少跑腿”。二是安排专人专岗跟进行政执法信息公示系统及“双公示”工作，在作出行政许可决定后，及时将行政许可事项审批结果通过广东省行政执法信息公示平台数据采集系统、政务信息资源共享平台以及区政务网进行公示，做到报送数据完整、规范，公示及时，不漏报、不漏项。</w:t>
      </w:r>
    </w:p>
    <w:p w14:paraId="66BC33D7">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（四）监督管理情况</w:t>
      </w:r>
    </w:p>
    <w:p w14:paraId="4CAF37C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一是</w:t>
      </w:r>
      <w:r>
        <w:rPr>
          <w:rFonts w:hint="eastAsia" w:ascii="仿宋_GB2312" w:hAnsi="仿宋_GB2312" w:eastAsia="仿宋_GB2312" w:cs="仿宋_GB2312"/>
          <w:sz w:val="32"/>
          <w:szCs w:val="32"/>
        </w:rPr>
        <w:t>建立本部门行政执法“三项制度”,确保行政许可审批工作程序合法、规范、准确、公正。</w:t>
      </w:r>
      <w:r>
        <w:rPr>
          <w:rFonts w:hint="eastAsia" w:ascii="仿宋_GB2312" w:hAnsi="仿宋_GB2312" w:eastAsia="仿宋_GB2312" w:cs="仿宋_GB2312"/>
          <w:bCs/>
          <w:sz w:val="32"/>
          <w:szCs w:val="32"/>
        </w:rPr>
        <w:t>二是</w:t>
      </w:r>
      <w:r>
        <w:rPr>
          <w:rFonts w:hint="eastAsia" w:ascii="仿宋_GB2312" w:hAnsi="仿宋_GB2312" w:eastAsia="仿宋_GB2312" w:cs="仿宋_GB2312"/>
          <w:sz w:val="32"/>
          <w:szCs w:val="32"/>
        </w:rPr>
        <w:t>建立群众监督制度，在广东政务服务网公开投诉举报电话，自觉接受群众举报投诉。</w:t>
      </w:r>
    </w:p>
    <w:p w14:paraId="158E1488">
      <w:pPr>
        <w:spacing w:line="576"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（五）实施效果情况</w:t>
      </w:r>
    </w:p>
    <w:p w14:paraId="1E40E14A">
      <w:pPr>
        <w:spacing w:line="576" w:lineRule="exact"/>
        <w:ind w:firstLine="640" w:firstLineChars="200"/>
        <w:rPr>
          <w:rFonts w:ascii="仿宋_GB2312" w:hAnsi="Calibri" w:eastAsia="仿宋_GB2312"/>
          <w:sz w:val="32"/>
          <w:szCs w:val="32"/>
        </w:rPr>
      </w:pPr>
      <w:r>
        <w:rPr>
          <w:rFonts w:hint="eastAsia" w:ascii="仿宋_GB2312" w:hAnsi="仿宋_GB2312" w:eastAsia="仿宋_GB2312" w:cs="仿宋_GB2312"/>
          <w:bCs/>
          <w:sz w:val="32"/>
          <w:szCs w:val="32"/>
        </w:rPr>
        <w:t>一是</w:t>
      </w:r>
      <w:r>
        <w:rPr>
          <w:rFonts w:hint="eastAsia" w:ascii="仿宋_GB2312" w:hAnsi="仿宋_GB2312" w:eastAsia="仿宋_GB2312" w:cs="仿宋_GB2312"/>
          <w:sz w:val="32"/>
          <w:szCs w:val="32"/>
        </w:rPr>
        <w:t>缩减办理时间，提高服务效能。在法律法规允许范围内，将行政许可业务时间在原有的承诺时限上压减一半以上，进一步简化流程，缩短办理时限，提高服务效能。二是落实“双随机一公开”抽查工作，提高监管效能。2020年度，我局共抽查企业102家，</w:t>
      </w:r>
      <w:r>
        <w:rPr>
          <w:rFonts w:hint="eastAsia" w:eastAsia="仿宋_GB2312"/>
          <w:sz w:val="32"/>
          <w:szCs w:val="32"/>
        </w:rPr>
        <w:t>及时将检查结果录入 “江门市市场智慧监管综合管理平台”，通过“广东省企业信用信息公示系统”、“江门市商事主体公示平台”、“信用江门”等平台进行公示。</w:t>
      </w:r>
      <w:r>
        <w:rPr>
          <w:rFonts w:hint="eastAsia" w:ascii="仿宋_GB2312" w:hAnsi="Calibri" w:eastAsia="仿宋_GB2312"/>
          <w:sz w:val="32"/>
          <w:szCs w:val="32"/>
        </w:rPr>
        <w:t>严格按规定对违法违规单位进行责令整改、诚信扣分、移交执法部门处罚等处理。</w:t>
      </w:r>
    </w:p>
    <w:p w14:paraId="0BE8811F">
      <w:pPr>
        <w:spacing w:line="576"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二、存在问题和困难</w:t>
      </w:r>
    </w:p>
    <w:p w14:paraId="5DD948C2">
      <w:pPr>
        <w:spacing w:line="576" w:lineRule="exact"/>
        <w:ind w:firstLine="736" w:firstLineChars="230"/>
        <w:rPr>
          <w:rFonts w:ascii="仿宋_GB2312" w:eastAsia="仿宋_GB2312"/>
          <w:sz w:val="32"/>
          <w:szCs w:val="32"/>
        </w:rPr>
      </w:pPr>
      <w:r>
        <w:rPr>
          <w:rFonts w:hint="eastAsia" w:ascii="仿宋_GB2312" w:eastAsia="仿宋_GB2312"/>
          <w:sz w:val="32"/>
          <w:szCs w:val="32"/>
        </w:rPr>
        <w:t>开展“双随机一公开”抽检工作时，每个项目的检查需要同时配备两位持有执法证工作人员，但我局持有执法证人员不多，造成检查面不够广泛。</w:t>
      </w:r>
    </w:p>
    <w:p w14:paraId="63500D00">
      <w:pPr>
        <w:spacing w:line="576"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三、下一步工作措施及有关建议</w:t>
      </w:r>
    </w:p>
    <w:p w14:paraId="1E12891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我局将进一步简化优化服务流程和办事材料，最大限度精简办事程序，提升政务服务能力和水平，方便企业和市民办事。</w:t>
      </w:r>
      <w:r>
        <w:rPr>
          <w:rFonts w:hint="eastAsia" w:ascii="仿宋_GB2312" w:hAnsi="仿宋_GB2312" w:eastAsia="仿宋_GB2312" w:cs="仿宋_GB2312"/>
          <w:bCs/>
          <w:sz w:val="32"/>
          <w:szCs w:val="32"/>
        </w:rPr>
        <w:t>一是</w:t>
      </w:r>
      <w:r>
        <w:rPr>
          <w:rFonts w:hint="eastAsia" w:ascii="仿宋_GB2312" w:hAnsi="仿宋_GB2312" w:eastAsia="仿宋_GB2312" w:cs="仿宋_GB2312"/>
          <w:sz w:val="32"/>
          <w:szCs w:val="32"/>
        </w:rPr>
        <w:t>继续深化“放管服”改革。不断优化行政许可事项审批流程，努力实现“四办”。</w:t>
      </w:r>
      <w:r>
        <w:rPr>
          <w:rFonts w:hint="eastAsia" w:ascii="仿宋_GB2312" w:hAnsi="仿宋_GB2312" w:eastAsia="仿宋_GB2312" w:cs="仿宋_GB2312"/>
          <w:bCs/>
          <w:sz w:val="32"/>
          <w:szCs w:val="32"/>
        </w:rPr>
        <w:t>二是</w:t>
      </w:r>
      <w:r>
        <w:rPr>
          <w:rFonts w:hint="eastAsia" w:ascii="仿宋_GB2312" w:hAnsi="仿宋_GB2312" w:eastAsia="仿宋_GB2312" w:cs="仿宋_GB2312"/>
          <w:sz w:val="32"/>
          <w:szCs w:val="32"/>
          <w:lang w:val="zh-CN"/>
        </w:rPr>
        <w:t>强化事中事后监管。健全工程建设项目</w:t>
      </w:r>
      <w:r>
        <w:rPr>
          <w:rFonts w:hint="eastAsia" w:ascii="仿宋_GB2312" w:hAnsi="仿宋_GB2312" w:eastAsia="仿宋_GB2312" w:cs="仿宋_GB2312"/>
          <w:sz w:val="32"/>
          <w:szCs w:val="32"/>
        </w:rPr>
        <w:t>事中事后监管制度，完善工程建设项目审批信用管理制度，构建“一处失信、处处受限”的联合惩戒机制。</w:t>
      </w:r>
    </w:p>
    <w:p w14:paraId="1EC8E5A4">
      <w:pPr>
        <w:spacing w:line="576" w:lineRule="exact"/>
        <w:ind w:firstLine="640" w:firstLineChars="200"/>
        <w:rPr>
          <w:rFonts w:ascii="仿宋_GB2312" w:hAnsi="仿宋_GB2312" w:eastAsia="仿宋_GB2312" w:cs="仿宋_GB2312"/>
          <w:sz w:val="32"/>
          <w:szCs w:val="32"/>
        </w:rPr>
      </w:pPr>
    </w:p>
    <w:p w14:paraId="28A3353B">
      <w:pPr>
        <w:spacing w:line="576" w:lineRule="exact"/>
        <w:ind w:firstLine="640" w:firstLineChars="200"/>
        <w:rPr>
          <w:rFonts w:ascii="仿宋_GB2312" w:hAnsi="仿宋_GB2312" w:eastAsia="仿宋_GB2312" w:cs="仿宋_GB2312"/>
          <w:sz w:val="32"/>
          <w:szCs w:val="32"/>
        </w:rPr>
      </w:pPr>
    </w:p>
    <w:p w14:paraId="626A718D">
      <w:pPr>
        <w:wordWrap w:val="0"/>
        <w:spacing w:line="576"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江门市蓬江区住房和城乡建设局  </w:t>
      </w:r>
    </w:p>
    <w:p w14:paraId="7EE54B69">
      <w:pPr>
        <w:wordWrap w:val="0"/>
        <w:spacing w:line="576" w:lineRule="exact"/>
        <w:ind w:firstLine="640" w:firstLineChars="200"/>
        <w:jc w:val="right"/>
        <w:rPr>
          <w:rFonts w:ascii="黑体" w:hAnsi="黑体" w:eastAsia="黑体" w:cs="黑体"/>
          <w:sz w:val="32"/>
          <w:szCs w:val="32"/>
        </w:rPr>
      </w:pPr>
      <w:r>
        <w:rPr>
          <w:rFonts w:ascii="仿宋_GB2312" w:hAnsi="仿宋_GB2312" w:eastAsia="仿宋_GB2312" w:cs="仿宋_GB2312"/>
          <w:sz w:val="32"/>
          <w:szCs w:val="32"/>
        </w:rPr>
        <w:t>2021年3月29日</w:t>
      </w:r>
      <w:r>
        <w:rPr>
          <w:rFonts w:hint="eastAsia" w:ascii="仿宋_GB2312" w:hAnsi="仿宋_GB2312"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150"/>
    <w:rsid w:val="00021314"/>
    <w:rsid w:val="000B59F4"/>
    <w:rsid w:val="00235948"/>
    <w:rsid w:val="002738C9"/>
    <w:rsid w:val="002A3D8A"/>
    <w:rsid w:val="00371EE7"/>
    <w:rsid w:val="00536150"/>
    <w:rsid w:val="00565DC0"/>
    <w:rsid w:val="005B1D35"/>
    <w:rsid w:val="00642327"/>
    <w:rsid w:val="00670F84"/>
    <w:rsid w:val="00750C82"/>
    <w:rsid w:val="009D361B"/>
    <w:rsid w:val="00A41A06"/>
    <w:rsid w:val="00AF52FB"/>
    <w:rsid w:val="00D06998"/>
    <w:rsid w:val="00F47388"/>
    <w:rsid w:val="00F706D9"/>
    <w:rsid w:val="23A42CA6"/>
    <w:rsid w:val="46DE1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jc w:val="left"/>
    </w:pPr>
    <w:rPr>
      <w:sz w:val="18"/>
      <w:szCs w:val="18"/>
    </w:rPr>
  </w:style>
  <w:style w:type="paragraph" w:styleId="3">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页眉 Char"/>
    <w:basedOn w:val="6"/>
    <w:link w:val="3"/>
    <w:uiPriority w:val="99"/>
    <w:rPr>
      <w:sz w:val="18"/>
      <w:szCs w:val="18"/>
    </w:rPr>
  </w:style>
  <w:style w:type="character" w:customStyle="1" w:styleId="11">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1384</Words>
  <Characters>1405</Characters>
  <Lines>16</Lines>
  <Paragraphs>4</Paragraphs>
  <TotalTime>93</TotalTime>
  <ScaleCrop>false</ScaleCrop>
  <LinksUpToDate>false</LinksUpToDate>
  <CharactersWithSpaces>1415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2021-03-29T01:27:00Z</dcterms:created>
  <dc:creator>覃许燕</dc:creator>
  <cp:lastModifiedBy>Administrator</cp:lastModifiedBy>
  <dcterms:modified xsi:type="dcterms:W3CDTF">2025-12-29T06:40:01Z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93AAF6AE949F44728875DAD3E53DC1D5</vt:lpwstr>
  </property>
  <property fmtid="{D5CDD505-2E9C-101B-9397-08002B2CF9AE}" pid="4" name="KSOTemplateDocerSaveRecord">
    <vt:lpwstr>eyJoZGlkIjoiODY5MjllNGNlZDczYzYyM2JhMmRmNzA4MGE2M2ZmMzgifQ==</vt:lpwstr>
  </property>
</Properties>
</file>